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56" w:type="dxa"/>
        <w:jc w:val="center"/>
        <w:tblCellMar>
          <w:left w:w="0" w:type="dxa"/>
          <w:right w:w="0" w:type="dxa"/>
        </w:tblCellMar>
        <w:tblLook w:val="04A0" w:firstRow="1" w:lastRow="0" w:firstColumn="1" w:lastColumn="0" w:noHBand="0" w:noVBand="1"/>
      </w:tblPr>
      <w:tblGrid>
        <w:gridCol w:w="9056"/>
      </w:tblGrid>
      <w:tr w:rsidR="00F4529D" w:rsidTr="00F4529D">
        <w:trPr>
          <w:jc w:val="center"/>
        </w:trPr>
        <w:tc>
          <w:tcPr>
            <w:tcW w:w="9056" w:type="dxa"/>
            <w:shd w:val="clear" w:color="auto" w:fill="D3D3D3"/>
            <w:hideMark/>
          </w:tcPr>
          <w:tbl>
            <w:tblPr>
              <w:tblW w:w="9000" w:type="dxa"/>
              <w:tblCellMar>
                <w:left w:w="0" w:type="dxa"/>
                <w:right w:w="0" w:type="dxa"/>
              </w:tblCellMar>
              <w:tblLook w:val="04A0" w:firstRow="1" w:lastRow="0" w:firstColumn="1" w:lastColumn="0" w:noHBand="0" w:noVBand="1"/>
            </w:tblPr>
            <w:tblGrid>
              <w:gridCol w:w="9056"/>
            </w:tblGrid>
            <w:tr w:rsidR="00F4529D">
              <w:tc>
                <w:tcPr>
                  <w:tcW w:w="0" w:type="auto"/>
                  <w:tcMar>
                    <w:top w:w="0" w:type="dxa"/>
                    <w:left w:w="0" w:type="dxa"/>
                    <w:bottom w:w="150" w:type="dxa"/>
                    <w:right w:w="0" w:type="dxa"/>
                  </w:tcMar>
                  <w:hideMark/>
                </w:tcPr>
                <w:p w:rsidR="00F4529D" w:rsidRDefault="00F4529D">
                  <w:pPr>
                    <w:rPr>
                      <w:rFonts w:ascii="Arial" w:hAnsi="Arial" w:cs="Arial"/>
                      <w:color w:val="000000"/>
                      <w:sz w:val="28"/>
                      <w:szCs w:val="28"/>
                    </w:rPr>
                  </w:pPr>
                  <w:r>
                    <w:rPr>
                      <w:rFonts w:ascii="Arial" w:hAnsi="Arial" w:cs="Arial"/>
                      <w:noProof/>
                      <w:color w:val="000000"/>
                      <w:sz w:val="28"/>
                      <w:szCs w:val="28"/>
                    </w:rPr>
                    <w:drawing>
                      <wp:inline distT="0" distB="0" distL="0" distR="0">
                        <wp:extent cx="5715000" cy="923925"/>
                        <wp:effectExtent l="0" t="0" r="0" b="9525"/>
                        <wp:docPr id="9" name="Picture 9" descr="http://nscaa.informz.net/NSCAA/data/images/2015%20Indy%20HS%20wkshp%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caa.informz.net/NSCAA/data/images/2015%20Indy%20HS%20wkshp%20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23925"/>
                                </a:xfrm>
                                <a:prstGeom prst="rect">
                                  <a:avLst/>
                                </a:prstGeom>
                                <a:noFill/>
                                <a:ln>
                                  <a:noFill/>
                                </a:ln>
                              </pic:spPr>
                            </pic:pic>
                          </a:graphicData>
                        </a:graphic>
                      </wp:inline>
                    </w:drawing>
                  </w:r>
                  <w:r>
                    <w:rPr>
                      <w:rFonts w:ascii="Arial" w:hAnsi="Arial" w:cs="Arial"/>
                      <w:color w:val="000000"/>
                      <w:sz w:val="28"/>
                      <w:szCs w:val="28"/>
                    </w:rPr>
                    <w:t>﻿</w:t>
                  </w:r>
                </w:p>
                <w:tbl>
                  <w:tblPr>
                    <w:tblW w:w="5000" w:type="pct"/>
                    <w:tblCellSpacing w:w="0" w:type="dxa"/>
                    <w:tblCellMar>
                      <w:left w:w="0" w:type="dxa"/>
                      <w:right w:w="0" w:type="dxa"/>
                    </w:tblCellMar>
                    <w:tblLook w:val="04A0" w:firstRow="1" w:lastRow="0" w:firstColumn="1" w:lastColumn="0" w:noHBand="0" w:noVBand="1"/>
                  </w:tblPr>
                  <w:tblGrid>
                    <w:gridCol w:w="9056"/>
                  </w:tblGrid>
                  <w:tr w:rsidR="00F4529D">
                    <w:trPr>
                      <w:tblCellSpacing w:w="0" w:type="dxa"/>
                    </w:trPr>
                    <w:tc>
                      <w:tcPr>
                        <w:tcW w:w="5000" w:type="pct"/>
                        <w:vAlign w:val="center"/>
                        <w:hideMark/>
                      </w:tcPr>
                      <w:tbl>
                        <w:tblPr>
                          <w:tblW w:w="9000" w:type="dxa"/>
                          <w:tblCellSpacing w:w="15" w:type="dxa"/>
                          <w:tblCellMar>
                            <w:left w:w="0" w:type="dxa"/>
                            <w:right w:w="0" w:type="dxa"/>
                          </w:tblCellMar>
                          <w:tblLook w:val="04A0" w:firstRow="1" w:lastRow="0" w:firstColumn="1" w:lastColumn="0" w:noHBand="0" w:noVBand="1"/>
                        </w:tblPr>
                        <w:tblGrid>
                          <w:gridCol w:w="4140"/>
                          <w:gridCol w:w="4860"/>
                        </w:tblGrid>
                        <w:tr w:rsidR="00F4529D">
                          <w:trPr>
                            <w:tblCellSpacing w:w="15" w:type="dxa"/>
                          </w:trPr>
                          <w:tc>
                            <w:tcPr>
                              <w:tcW w:w="4020" w:type="dxa"/>
                              <w:tcMar>
                                <w:top w:w="30" w:type="dxa"/>
                                <w:left w:w="30" w:type="dxa"/>
                                <w:bottom w:w="30" w:type="dxa"/>
                                <w:right w:w="30" w:type="dxa"/>
                              </w:tcMar>
                              <w:vAlign w:val="center"/>
                              <w:hideMark/>
                            </w:tcPr>
                            <w:p w:rsidR="00F4529D" w:rsidRDefault="00F4529D">
                              <w:pPr>
                                <w:pStyle w:val="NormalWeb"/>
                              </w:pPr>
                              <w:r>
                                <w:br/>
                              </w:r>
                              <w:r>
                                <w:rPr>
                                  <w:noProof/>
                                  <w:color w:val="0000FF"/>
                                </w:rPr>
                                <w:drawing>
                                  <wp:inline distT="0" distB="0" distL="0" distR="0">
                                    <wp:extent cx="2524125" cy="2790825"/>
                                    <wp:effectExtent l="0" t="0" r="0" b="9525"/>
                                    <wp:docPr id="8" name="Picture 8" descr="http://nscaa.informz.net/NSCAA/data/images/HighSchool-Workshop-logo-final-01.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caa.informz.net/NSCAA/data/images/HighSchool-Workshop-logo-final-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2790825"/>
                                            </a:xfrm>
                                            <a:prstGeom prst="rect">
                                              <a:avLst/>
                                            </a:prstGeom>
                                            <a:noFill/>
                                            <a:ln>
                                              <a:noFill/>
                                            </a:ln>
                                          </pic:spPr>
                                        </pic:pic>
                                      </a:graphicData>
                                    </a:graphic>
                                  </wp:inline>
                                </w:drawing>
                              </w:r>
                              <w:r>
                                <w:t>﻿ </w:t>
                              </w:r>
                            </w:p>
                          </w:tc>
                          <w:tc>
                            <w:tcPr>
                              <w:tcW w:w="0" w:type="auto"/>
                              <w:tcMar>
                                <w:top w:w="30" w:type="dxa"/>
                                <w:left w:w="30" w:type="dxa"/>
                                <w:bottom w:w="30" w:type="dxa"/>
                                <w:right w:w="30" w:type="dxa"/>
                              </w:tcMar>
                              <w:vAlign w:val="center"/>
                              <w:hideMark/>
                            </w:tcPr>
                            <w:p w:rsidR="00F4529D" w:rsidRDefault="00F4529D">
                              <w:r>
                                <w:rPr>
                                  <w:rFonts w:ascii="Arial" w:hAnsi="Arial" w:cs="Arial"/>
                                  <w:color w:val="333333"/>
                                  <w:sz w:val="20"/>
                                  <w:szCs w:val="20"/>
                                </w:rPr>
                                <w:t xml:space="preserve">The NSCAA and NFHS bring an event to Indianapolis unlike any other the NSCAA has done. </w:t>
                              </w:r>
                              <w:hyperlink r:id="rId7" w:tgtFrame="_blank" w:history="1">
                                <w:r>
                                  <w:rPr>
                                    <w:rStyle w:val="Hyperlink"/>
                                    <w:rFonts w:ascii="Arial" w:hAnsi="Arial" w:cs="Arial"/>
                                    <w:sz w:val="20"/>
                                    <w:szCs w:val="20"/>
                                  </w:rPr>
                                  <w:t>The NSCAA/NFHS High School Workshop</w:t>
                                </w:r>
                              </w:hyperlink>
                              <w:r>
                                <w:rPr>
                                  <w:rFonts w:ascii="Arial" w:hAnsi="Arial" w:cs="Arial"/>
                                  <w:color w:val="333333"/>
                                  <w:sz w:val="20"/>
                                  <w:szCs w:val="20"/>
                                </w:rPr>
                                <w:t xml:space="preserve"> is geared specifically toward high school coaches and will focus on the mental side of the game. The mental game has become more and more important in sports, and many coaches are unfamiliar with training for this aspect of the game. With multiple clinicians presenting their tips and knowledge, coaches will be able to bring back valuable information that will help improve their players' performance. In addition to gaining new knowledge, coaches will also have the opportunity to earn a coaching certificate. The certificate earned at the Workshop will be titled, "</w:t>
                              </w:r>
                              <w:hyperlink r:id="rId8" w:tgtFrame="_blank" w:history="1">
                                <w:r>
                                  <w:rPr>
                                    <w:rStyle w:val="Hyperlink"/>
                                    <w:rFonts w:ascii="Arial" w:hAnsi="Arial" w:cs="Arial"/>
                                    <w:sz w:val="20"/>
                                    <w:szCs w:val="20"/>
                                  </w:rPr>
                                  <w:t>NSCAA/NFHS Professional Development Certificate: Building the High School Player, The Mental Game</w:t>
                                </w:r>
                              </w:hyperlink>
                              <w:r>
                                <w:rPr>
                                  <w:rFonts w:ascii="Arial" w:hAnsi="Arial" w:cs="Arial"/>
                                  <w:color w:val="333333"/>
                                  <w:sz w:val="20"/>
                                  <w:szCs w:val="20"/>
                                </w:rPr>
                                <w:t>". For the complete schedule to the event, </w:t>
                              </w:r>
                              <w:hyperlink r:id="rId9" w:tgtFrame="_blank" w:history="1">
                                <w:r>
                                  <w:rPr>
                                    <w:rStyle w:val="Hyperlink"/>
                                    <w:rFonts w:ascii="Arial" w:hAnsi="Arial" w:cs="Arial"/>
                                    <w:sz w:val="20"/>
                                    <w:szCs w:val="20"/>
                                  </w:rPr>
                                  <w:t>click here</w:t>
                                </w:r>
                              </w:hyperlink>
                              <w:r>
                                <w:rPr>
                                  <w:rFonts w:ascii="Arial" w:hAnsi="Arial" w:cs="Arial"/>
                                  <w:color w:val="333333"/>
                                  <w:sz w:val="20"/>
                                  <w:szCs w:val="20"/>
                                </w:rPr>
                                <w:t>. To register for the workshop please see below.</w:t>
                              </w:r>
                            </w:p>
                          </w:tc>
                        </w:tr>
                      </w:tbl>
                      <w:tbl>
                        <w:tblPr>
                          <w:tblpPr w:leftFromText="45" w:rightFromText="45" w:vertAnchor="text"/>
                          <w:tblW w:w="90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988"/>
                          <w:gridCol w:w="3027"/>
                        </w:tblGrid>
                        <w:tr w:rsidR="00F4529D">
                          <w:trPr>
                            <w:tblCellSpacing w:w="15" w:type="dxa"/>
                          </w:trPr>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pPr>
                                <w:rPr>
                                  <w:color w:val="000000"/>
                                </w:rPr>
                              </w:pPr>
                              <w:r>
                                <w:rPr>
                                  <w:b/>
                                  <w:bCs/>
                                  <w:noProof/>
                                  <w:color w:val="000000"/>
                                </w:rPr>
                                <w:drawing>
                                  <wp:inline distT="0" distB="0" distL="0" distR="0">
                                    <wp:extent cx="1809750" cy="590550"/>
                                    <wp:effectExtent l="0" t="0" r="0" b="0"/>
                                    <wp:docPr id="7" name="Picture 7" descr="http://nscaa.informz.net/NSCAA/data/images/Keynote%20Sp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aa.informz.net/NSCAA/data/images/Keynote%20Speak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809750" cy="590550"/>
                                    <wp:effectExtent l="0" t="0" r="0" b="0"/>
                                    <wp:wrapSquare wrapText="bothSides"/>
                                    <wp:docPr id="10" name="Picture 10" descr="http://nscaa.informz.net/NSCAA/data/images/HS%20show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caa.informz.net/NSCAA/data/images/HS%20showcase.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15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r>
                                <w:rPr>
                                  <w:noProof/>
                                </w:rPr>
                                <w:drawing>
                                  <wp:inline distT="0" distB="0" distL="0" distR="0">
                                    <wp:extent cx="1809750" cy="581025"/>
                                    <wp:effectExtent l="0" t="0" r="0" b="9525"/>
                                    <wp:docPr id="6" name="Picture 6" descr="http://nscaa.informz.net/NSCAA/data/images/acti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scaa.informz.net/NSCAA/data/images/activiti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tc>
                        </w:tr>
                        <w:tr w:rsidR="00F4529D">
                          <w:trPr>
                            <w:tblCellSpacing w:w="15" w:type="dxa"/>
                          </w:trPr>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r>
                                <w:rPr>
                                  <w:noProof/>
                                  <w:color w:val="0000FF"/>
                                </w:rPr>
                                <w:drawing>
                                  <wp:inline distT="0" distB="0" distL="0" distR="0">
                                    <wp:extent cx="1714500" cy="1009650"/>
                                    <wp:effectExtent l="0" t="0" r="0" b="0"/>
                                    <wp:docPr id="5" name="Picture 5" descr="http://nscaa.informz.net/NSCAA/data/images/Sommer.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scaa.informz.net/NSCAA/data/images/Somm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r>
                                <w:rPr>
                                  <w:noProof/>
                                  <w:color w:val="0000FF"/>
                                </w:rPr>
                                <w:drawing>
                                  <wp:inline distT="0" distB="0" distL="0" distR="0">
                                    <wp:extent cx="1714500" cy="1009650"/>
                                    <wp:effectExtent l="0" t="0" r="0" b="0"/>
                                    <wp:docPr id="4" name="Picture 4" descr="http://nscaa.informz.net/NSCAA/data/images/hsshowcase.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caa.informz.net/NSCAA/data/images/hsshowcas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pPr>
                                <w:pStyle w:val="NormalWeb"/>
                                <w:jc w:val="center"/>
                              </w:pPr>
                              <w:r>
                                <w:rPr>
                                  <w:b/>
                                  <w:bCs/>
                                  <w:noProof/>
                                  <w:color w:val="0000FF"/>
                                  <w:sz w:val="28"/>
                                  <w:szCs w:val="28"/>
                                </w:rPr>
                                <w:drawing>
                                  <wp:inline distT="0" distB="0" distL="0" distR="0">
                                    <wp:extent cx="1714500" cy="1019175"/>
                                    <wp:effectExtent l="0" t="0" r="0" b="9525"/>
                                    <wp:docPr id="3" name="Picture 3" descr="http://nscaa.informz.net/NSCAA/data/images/footgolfindycosmos.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caa.informz.net/NSCAA/data/images/footgolfindycosmo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019175"/>
                                            </a:xfrm>
                                            <a:prstGeom prst="rect">
                                              <a:avLst/>
                                            </a:prstGeom>
                                            <a:noFill/>
                                            <a:ln>
                                              <a:noFill/>
                                            </a:ln>
                                          </pic:spPr>
                                        </pic:pic>
                                      </a:graphicData>
                                    </a:graphic>
                                  </wp:inline>
                                </w:drawing>
                              </w:r>
                            </w:p>
                          </w:tc>
                        </w:tr>
                        <w:tr w:rsidR="00F4529D">
                          <w:trPr>
                            <w:tblCellSpacing w:w="15" w:type="dxa"/>
                          </w:trPr>
                          <w:tc>
                            <w:tcPr>
                              <w:tcW w:w="3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pPr>
                                <w:pStyle w:val="NormalWeb"/>
                              </w:pPr>
                              <w:proofErr w:type="spellStart"/>
                              <w:r>
                                <w:rPr>
                                  <w:rFonts w:ascii="Arial" w:hAnsi="Arial" w:cs="Arial"/>
                                  <w:sz w:val="18"/>
                                  <w:szCs w:val="18"/>
                                </w:rPr>
                                <w:t>Juergen</w:t>
                              </w:r>
                              <w:proofErr w:type="spellEnd"/>
                              <w:r>
                                <w:rPr>
                                  <w:rFonts w:ascii="Arial" w:hAnsi="Arial" w:cs="Arial"/>
                                  <w:sz w:val="18"/>
                                  <w:szCs w:val="18"/>
                                </w:rPr>
                                <w:t xml:space="preserve"> </w:t>
                              </w:r>
                              <w:proofErr w:type="spellStart"/>
                              <w:r>
                                <w:rPr>
                                  <w:rFonts w:ascii="Arial" w:hAnsi="Arial" w:cs="Arial"/>
                                  <w:sz w:val="18"/>
                                  <w:szCs w:val="18"/>
                                </w:rPr>
                                <w:t>Sommer</w:t>
                              </w:r>
                              <w:proofErr w:type="spellEnd"/>
                              <w:r>
                                <w:rPr>
                                  <w:rFonts w:ascii="Arial" w:hAnsi="Arial" w:cs="Arial"/>
                                  <w:sz w:val="18"/>
                                  <w:szCs w:val="18"/>
                                </w:rPr>
                                <w:t xml:space="preserve">, Head Coach of the Indy Eleven (NASL), will be the Keynote Speaker on Thursday, </w:t>
                              </w:r>
                              <w:r>
                                <w:rPr>
                                  <w:rStyle w:val="Strong"/>
                                  <w:rFonts w:ascii="Arial" w:hAnsi="Arial" w:cs="Arial"/>
                                  <w:sz w:val="18"/>
                                  <w:szCs w:val="18"/>
                                </w:rPr>
                                <w:t>July 23rd</w:t>
                              </w:r>
                              <w:r>
                                <w:rPr>
                                  <w:rFonts w:ascii="Arial" w:hAnsi="Arial" w:cs="Arial"/>
                                  <w:sz w:val="18"/>
                                  <w:szCs w:val="18"/>
                                </w:rPr>
                                <w:t xml:space="preserve">. For more information on Coach </w:t>
                              </w:r>
                              <w:proofErr w:type="spellStart"/>
                              <w:r>
                                <w:rPr>
                                  <w:rFonts w:ascii="Arial" w:hAnsi="Arial" w:cs="Arial"/>
                                  <w:sz w:val="18"/>
                                  <w:szCs w:val="18"/>
                                </w:rPr>
                                <w:t>Sommer</w:t>
                              </w:r>
                              <w:proofErr w:type="spellEnd"/>
                              <w:r>
                                <w:rPr>
                                  <w:rFonts w:ascii="Arial" w:hAnsi="Arial" w:cs="Arial"/>
                                  <w:sz w:val="18"/>
                                  <w:szCs w:val="18"/>
                                </w:rPr>
                                <w:t xml:space="preserve"> and the other presenters </w:t>
                              </w:r>
                              <w:hyperlink r:id="rId19" w:tgtFrame="_blank" w:history="1">
                                <w:r>
                                  <w:rPr>
                                    <w:rStyle w:val="Hyperlink"/>
                                    <w:rFonts w:ascii="Arial" w:hAnsi="Arial" w:cs="Arial"/>
                                    <w:sz w:val="18"/>
                                    <w:szCs w:val="18"/>
                                  </w:rPr>
                                  <w:t>click here</w:t>
                                </w:r>
                              </w:hyperlink>
                              <w:r>
                                <w:rPr>
                                  <w:rFonts w:ascii="Arial" w:hAnsi="Arial" w:cs="Arial"/>
                                  <w:sz w:val="18"/>
                                  <w:szCs w:val="18"/>
                                </w:rPr>
                                <w:t>.</w:t>
                              </w:r>
                            </w:p>
                            <w:p w:rsidR="00F4529D" w:rsidRDefault="00F4529D">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pPr>
                                <w:pStyle w:val="NormalWeb"/>
                              </w:pPr>
                              <w:r>
                                <w:rPr>
                                  <w:rFonts w:ascii="Arial" w:hAnsi="Arial" w:cs="Arial"/>
                                  <w:sz w:val="18"/>
                                  <w:szCs w:val="18"/>
                                </w:rPr>
                                <w:t>Following the Workshop, the NSCAA is hosting the High School Summer Showcase on </w:t>
                              </w:r>
                              <w:r>
                                <w:rPr>
                                  <w:rStyle w:val="Strong"/>
                                  <w:rFonts w:ascii="Arial" w:hAnsi="Arial" w:cs="Arial"/>
                                  <w:sz w:val="18"/>
                                  <w:szCs w:val="18"/>
                                </w:rPr>
                                <w:t>July 24-25, 2015</w:t>
                              </w:r>
                              <w:r>
                                <w:rPr>
                                  <w:rFonts w:ascii="Arial" w:hAnsi="Arial" w:cs="Arial"/>
                                  <w:sz w:val="18"/>
                                  <w:szCs w:val="18"/>
                                </w:rPr>
                                <w:t> in Westfield, IN. </w:t>
                              </w:r>
                              <w:hyperlink r:id="rId20" w:tgtFrame="_blank" w:history="1">
                                <w:r>
                                  <w:rPr>
                                    <w:rStyle w:val="Hyperlink"/>
                                    <w:rFonts w:ascii="Arial" w:hAnsi="Arial" w:cs="Arial"/>
                                    <w:sz w:val="18"/>
                                    <w:szCs w:val="18"/>
                                  </w:rPr>
                                  <w:t>More info</w:t>
                                </w:r>
                              </w:hyperlink>
                              <w:r>
                                <w:rPr>
                                  <w:rFonts w:ascii="Arial" w:hAnsi="Arial" w:cs="Arial"/>
                                  <w:sz w:val="18"/>
                                  <w:szCs w:val="18"/>
                                </w:rPr>
                                <w:t>.</w:t>
                              </w:r>
                            </w:p>
                            <w:p w:rsidR="00F4529D" w:rsidRDefault="00F4529D">
                              <w:pPr>
                                <w:pStyle w:val="NormalWeb"/>
                              </w:pPr>
                              <w:r>
                                <w:t> </w:t>
                              </w:r>
                            </w:p>
                            <w:p w:rsidR="00F4529D" w:rsidRDefault="00F4529D">
                              <w:pPr>
                                <w:pStyle w:val="NormalWeb"/>
                              </w:pPr>
                              <w: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pPr>
                                <w:pStyle w:val="NormalWeb"/>
                              </w:pPr>
                              <w:r>
                                <w:rPr>
                                  <w:rFonts w:ascii="Arial" w:hAnsi="Arial" w:cs="Arial"/>
                                  <w:sz w:val="18"/>
                                  <w:szCs w:val="18"/>
                                </w:rPr>
                                <w:t xml:space="preserve">Two social activities will also coincide with the workshop! A </w:t>
                              </w:r>
                              <w:proofErr w:type="spellStart"/>
                              <w:r>
                                <w:rPr>
                                  <w:rFonts w:ascii="Arial" w:hAnsi="Arial" w:cs="Arial"/>
                                  <w:sz w:val="18"/>
                                  <w:szCs w:val="18"/>
                                </w:rPr>
                                <w:t>FootGolf</w:t>
                              </w:r>
                              <w:proofErr w:type="spellEnd"/>
                              <w:r>
                                <w:rPr>
                                  <w:rFonts w:ascii="Arial" w:hAnsi="Arial" w:cs="Arial"/>
                                  <w:sz w:val="18"/>
                                  <w:szCs w:val="18"/>
                                </w:rPr>
                                <w:t xml:space="preserve"> tournament will take place on </w:t>
                              </w:r>
                              <w:r>
                                <w:rPr>
                                  <w:rStyle w:val="Strong"/>
                                  <w:rFonts w:ascii="Arial" w:hAnsi="Arial" w:cs="Arial"/>
                                  <w:sz w:val="18"/>
                                  <w:szCs w:val="18"/>
                                </w:rPr>
                                <w:t>July 23rd</w:t>
                              </w:r>
                              <w:r>
                                <w:rPr>
                                  <w:rFonts w:ascii="Arial" w:hAnsi="Arial" w:cs="Arial"/>
                                  <w:sz w:val="18"/>
                                  <w:szCs w:val="18"/>
                                </w:rPr>
                                <w:t>. There is also an option to purchase tickets to the Indy Eleven vs. New York Cosmos (NASL) game </w:t>
                              </w:r>
                              <w:r>
                                <w:rPr>
                                  <w:rStyle w:val="Strong"/>
                                  <w:rFonts w:ascii="Arial" w:hAnsi="Arial" w:cs="Arial"/>
                                  <w:sz w:val="18"/>
                                  <w:szCs w:val="18"/>
                                </w:rPr>
                                <w:t>July 25th</w:t>
                              </w:r>
                              <w:r>
                                <w:rPr>
                                  <w:rFonts w:ascii="Arial" w:hAnsi="Arial" w:cs="Arial"/>
                                  <w:sz w:val="18"/>
                                  <w:szCs w:val="18"/>
                                </w:rPr>
                                <w:t>. For registration and tickets </w:t>
                              </w:r>
                              <w:hyperlink r:id="rId21" w:tgtFrame="_blank" w:history="1">
                                <w:r>
                                  <w:rPr>
                                    <w:rStyle w:val="Hyperlink"/>
                                    <w:rFonts w:ascii="Arial" w:hAnsi="Arial" w:cs="Arial"/>
                                    <w:sz w:val="18"/>
                                    <w:szCs w:val="18"/>
                                  </w:rPr>
                                  <w:t>click here</w:t>
                                </w:r>
                              </w:hyperlink>
                              <w:r>
                                <w:rPr>
                                  <w:rFonts w:ascii="Arial" w:hAnsi="Arial" w:cs="Arial"/>
                                  <w:sz w:val="18"/>
                                  <w:szCs w:val="18"/>
                                </w:rPr>
                                <w:t>.</w:t>
                              </w:r>
                            </w:p>
                          </w:tc>
                        </w:tr>
                        <w:tr w:rsidR="00F4529D">
                          <w:trPr>
                            <w:tblCellSpacing w:w="15" w:type="dxa"/>
                          </w:trPr>
                          <w:tc>
                            <w:tcPr>
                              <w:tcW w:w="300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F4529D" w:rsidRDefault="00F4529D">
                              <w:pPr>
                                <w:jc w:val="center"/>
                              </w:pPr>
                              <w:r>
                                <w:rPr>
                                  <w:noProof/>
                                  <w:color w:val="0000FF"/>
                                </w:rPr>
                                <w:drawing>
                                  <wp:inline distT="0" distB="0" distL="0" distR="0">
                                    <wp:extent cx="2143125" cy="476250"/>
                                    <wp:effectExtent l="0" t="0" r="0" b="0"/>
                                    <wp:docPr id="2" name="Picture 2" descr="http://nscaa.informz.net/NSCAA/data/images/c15%20red%20register%20button.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scaa.informz.net/NSCAA/data/images/c15%20red%20register%20butt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476250"/>
                                            </a:xfrm>
                                            <a:prstGeom prst="rect">
                                              <a:avLst/>
                                            </a:prstGeom>
                                            <a:noFill/>
                                            <a:ln>
                                              <a:noFill/>
                                            </a:ln>
                                          </pic:spPr>
                                        </pic:pic>
                                      </a:graphicData>
                                    </a:graphic>
                                  </wp:inline>
                                </w:drawing>
                              </w:r>
                            </w:p>
                          </w:tc>
                        </w:tr>
                      </w:tbl>
                      <w:p w:rsidR="00F4529D" w:rsidRDefault="00F4529D">
                        <w:pPr>
                          <w:pStyle w:val="NormalWeb"/>
                          <w:rPr>
                            <w:rFonts w:ascii="Arial" w:hAnsi="Arial" w:cs="Arial"/>
                            <w:color w:val="000000"/>
                            <w:sz w:val="20"/>
                            <w:szCs w:val="20"/>
                          </w:rPr>
                        </w:pPr>
                        <w:r>
                          <w:rPr>
                            <w:rFonts w:ascii="Arial" w:hAnsi="Arial" w:cs="Arial"/>
                            <w:color w:val="000000"/>
                            <w:sz w:val="20"/>
                            <w:szCs w:val="20"/>
                          </w:rPr>
                          <w:t> </w:t>
                        </w:r>
                        <w:r>
                          <w:rPr>
                            <w:rFonts w:ascii="Arial" w:hAnsi="Arial" w:cs="Arial"/>
                            <w:noProof/>
                            <w:color w:val="0000FF"/>
                            <w:sz w:val="20"/>
                            <w:szCs w:val="20"/>
                          </w:rPr>
                          <w:drawing>
                            <wp:inline distT="0" distB="0" distL="0" distR="0">
                              <wp:extent cx="5715000" cy="704850"/>
                              <wp:effectExtent l="0" t="0" r="0" b="0"/>
                              <wp:docPr id="1" name="Picture 1" descr="http://nscaa.informz.net/NSCAA/data/images/eL%20wwh%20Header.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scaa.informz.net/NSCAA/data/images/eL%20wwh%20Head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704850"/>
                                      </a:xfrm>
                                      <a:prstGeom prst="rect">
                                        <a:avLst/>
                                      </a:prstGeom>
                                      <a:noFill/>
                                      <a:ln>
                                        <a:noFill/>
                                      </a:ln>
                                    </pic:spPr>
                                  </pic:pic>
                                </a:graphicData>
                              </a:graphic>
                            </wp:inline>
                          </w:drawing>
                        </w:r>
                      </w:p>
                    </w:tc>
                  </w:tr>
                </w:tbl>
                <w:p w:rsidR="00F4529D" w:rsidRDefault="00F4529D">
                  <w:pPr>
                    <w:rPr>
                      <w:rFonts w:eastAsia="Times New Roman"/>
                      <w:sz w:val="20"/>
                      <w:szCs w:val="20"/>
                    </w:rPr>
                  </w:pPr>
                </w:p>
              </w:tc>
            </w:tr>
            <w:tr w:rsidR="00F4529D">
              <w:tc>
                <w:tcPr>
                  <w:tcW w:w="0" w:type="auto"/>
                  <w:tcBorders>
                    <w:top w:val="single" w:sz="36" w:space="0" w:color="D21243"/>
                    <w:left w:val="nil"/>
                    <w:bottom w:val="nil"/>
                    <w:right w:val="nil"/>
                  </w:tcBorders>
                  <w:tcMar>
                    <w:top w:w="75" w:type="dxa"/>
                    <w:left w:w="0" w:type="dxa"/>
                    <w:bottom w:w="75" w:type="dxa"/>
                    <w:right w:w="0" w:type="dxa"/>
                  </w:tcMar>
                  <w:hideMark/>
                </w:tcPr>
                <w:p w:rsidR="00F4529D" w:rsidRDefault="00F4529D">
                  <w:pPr>
                    <w:rPr>
                      <w:rFonts w:ascii="Arial" w:hAnsi="Arial" w:cs="Arial"/>
                      <w:color w:val="000000"/>
                      <w:sz w:val="18"/>
                      <w:szCs w:val="18"/>
                    </w:rPr>
                  </w:pPr>
                  <w:r>
                    <w:rPr>
                      <w:rFonts w:ascii="Arial" w:hAnsi="Arial" w:cs="Arial"/>
                      <w:color w:val="000000"/>
                      <w:sz w:val="18"/>
                      <w:szCs w:val="18"/>
                    </w:rPr>
                    <w:t> </w:t>
                  </w:r>
                </w:p>
              </w:tc>
            </w:tr>
            <w:tr w:rsidR="00F4529D">
              <w:tc>
                <w:tcPr>
                  <w:tcW w:w="0" w:type="auto"/>
                  <w:tcMar>
                    <w:top w:w="75" w:type="dxa"/>
                    <w:left w:w="0" w:type="dxa"/>
                    <w:bottom w:w="75" w:type="dxa"/>
                    <w:right w:w="0" w:type="dxa"/>
                  </w:tcMar>
                  <w:hideMark/>
                </w:tcPr>
                <w:p w:rsidR="00F4529D" w:rsidRDefault="00F4529D">
                  <w:pPr>
                    <w:rPr>
                      <w:rFonts w:ascii="Arial" w:hAnsi="Arial" w:cs="Arial"/>
                      <w:color w:val="000000"/>
                      <w:sz w:val="18"/>
                      <w:szCs w:val="18"/>
                    </w:rPr>
                  </w:pPr>
                  <w:r>
                    <w:rPr>
                      <w:rFonts w:ascii="Arial" w:hAnsi="Arial" w:cs="Arial"/>
                      <w:b/>
                      <w:bCs/>
                      <w:color w:val="000000"/>
                      <w:sz w:val="18"/>
                      <w:szCs w:val="18"/>
                    </w:rPr>
                    <w:t>National Soccer Coaches Association of America</w:t>
                  </w:r>
                  <w:r>
                    <w:rPr>
                      <w:rFonts w:ascii="Arial" w:hAnsi="Arial" w:cs="Arial"/>
                      <w:color w:val="000000"/>
                      <w:sz w:val="18"/>
                      <w:szCs w:val="18"/>
                    </w:rPr>
                    <w:br/>
                    <w:t>30 W Pershing Rd. Suite 350</w:t>
                  </w:r>
                  <w:r>
                    <w:rPr>
                      <w:rFonts w:ascii="Arial" w:hAnsi="Arial" w:cs="Arial"/>
                      <w:color w:val="000000"/>
                      <w:sz w:val="18"/>
                      <w:szCs w:val="18"/>
                    </w:rPr>
                    <w:br/>
                    <w:t>Kansas City, MO 64108</w:t>
                  </w:r>
                  <w:r>
                    <w:rPr>
                      <w:rFonts w:ascii="Arial" w:hAnsi="Arial" w:cs="Arial"/>
                      <w:color w:val="000000"/>
                      <w:sz w:val="18"/>
                      <w:szCs w:val="18"/>
                    </w:rPr>
                    <w:br/>
                    <w:t>T. 816-471-1941 | F. 816-474-7408</w:t>
                  </w:r>
                </w:p>
              </w:tc>
            </w:tr>
            <w:tr w:rsidR="00F4529D">
              <w:tc>
                <w:tcPr>
                  <w:tcW w:w="0" w:type="auto"/>
                  <w:hideMark/>
                </w:tcPr>
                <w:tbl>
                  <w:tblPr>
                    <w:tblW w:w="2820" w:type="dxa"/>
                    <w:tblCellMar>
                      <w:left w:w="0" w:type="dxa"/>
                      <w:right w:w="0" w:type="dxa"/>
                    </w:tblCellMar>
                    <w:tblLook w:val="04A0" w:firstRow="1" w:lastRow="0" w:firstColumn="1" w:lastColumn="0" w:noHBand="0" w:noVBand="1"/>
                  </w:tblPr>
                  <w:tblGrid>
                    <w:gridCol w:w="2820"/>
                  </w:tblGrid>
                  <w:tr w:rsidR="00F4529D">
                    <w:tc>
                      <w:tcPr>
                        <w:tcW w:w="2820" w:type="dxa"/>
                        <w:vAlign w:val="center"/>
                        <w:hideMark/>
                      </w:tcPr>
                      <w:p w:rsidR="00F4529D" w:rsidRDefault="00F4529D">
                        <w:pPr>
                          <w:rPr>
                            <w:rFonts w:ascii="Arial" w:hAnsi="Arial" w:cs="Arial"/>
                            <w:color w:val="000000"/>
                            <w:sz w:val="18"/>
                            <w:szCs w:val="18"/>
                          </w:rPr>
                        </w:pPr>
                        <w:hyperlink r:id="rId26" w:tgtFrame="_blank" w:history="1">
                          <w:r>
                            <w:rPr>
                              <w:rStyle w:val="Hyperlink"/>
                              <w:rFonts w:ascii="Arial" w:hAnsi="Arial" w:cs="Arial"/>
                              <w:color w:val="D21243"/>
                              <w:sz w:val="18"/>
                              <w:szCs w:val="18"/>
                            </w:rPr>
                            <w:t>Email</w:t>
                          </w:r>
                        </w:hyperlink>
                        <w:r>
                          <w:rPr>
                            <w:rFonts w:ascii="Arial" w:hAnsi="Arial" w:cs="Arial"/>
                            <w:color w:val="000000"/>
                            <w:sz w:val="18"/>
                            <w:szCs w:val="18"/>
                          </w:rPr>
                          <w:t xml:space="preserve"> | </w:t>
                        </w:r>
                        <w:hyperlink r:id="rId27" w:history="1">
                          <w:r>
                            <w:rPr>
                              <w:rStyle w:val="Hyperlink"/>
                              <w:rFonts w:ascii="Arial" w:hAnsi="Arial" w:cs="Arial"/>
                              <w:color w:val="D21243"/>
                              <w:sz w:val="18"/>
                              <w:szCs w:val="18"/>
                            </w:rPr>
                            <w:t>Website</w:t>
                          </w:r>
                        </w:hyperlink>
                        <w:r>
                          <w:rPr>
                            <w:rFonts w:ascii="Arial" w:hAnsi="Arial" w:cs="Arial"/>
                            <w:color w:val="000000"/>
                            <w:sz w:val="18"/>
                            <w:szCs w:val="18"/>
                          </w:rPr>
                          <w:t xml:space="preserve"> | </w:t>
                        </w:r>
                        <w:hyperlink r:id="rId28" w:history="1">
                          <w:r>
                            <w:rPr>
                              <w:rStyle w:val="Hyperlink"/>
                              <w:rFonts w:ascii="Arial" w:hAnsi="Arial" w:cs="Arial"/>
                              <w:color w:val="D21243"/>
                              <w:sz w:val="18"/>
                              <w:szCs w:val="18"/>
                            </w:rPr>
                            <w:t>Send to a friend</w:t>
                          </w:r>
                        </w:hyperlink>
                      </w:p>
                    </w:tc>
                  </w:tr>
                </w:tbl>
                <w:p w:rsidR="00F4529D" w:rsidRDefault="00F4529D">
                  <w:pPr>
                    <w:rPr>
                      <w:rFonts w:eastAsia="Times New Roman"/>
                      <w:sz w:val="20"/>
                      <w:szCs w:val="20"/>
                    </w:rPr>
                  </w:pPr>
                </w:p>
              </w:tc>
            </w:tr>
          </w:tbl>
          <w:p w:rsidR="00F4529D" w:rsidRDefault="00F4529D">
            <w:pPr>
              <w:rPr>
                <w:rFonts w:eastAsia="Times New Roman"/>
                <w:sz w:val="20"/>
                <w:szCs w:val="20"/>
              </w:rPr>
            </w:pPr>
          </w:p>
        </w:tc>
      </w:tr>
    </w:tbl>
    <w:p w:rsidR="008C46A5" w:rsidRDefault="008C46A5" w:rsidP="00F4529D">
      <w:bookmarkStart w:id="0" w:name="_GoBack"/>
      <w:bookmarkEnd w:id="0"/>
    </w:p>
    <w:sectPr w:rsidR="008C46A5" w:rsidSect="00F4529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9D"/>
    <w:rsid w:val="008C46A5"/>
    <w:rsid w:val="00F4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389F3-20E9-47AE-AE3C-E4F0DCD5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2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29D"/>
    <w:rPr>
      <w:color w:val="0000FF"/>
      <w:u w:val="single"/>
    </w:rPr>
  </w:style>
  <w:style w:type="paragraph" w:styleId="NormalWeb">
    <w:name w:val="Normal (Web)"/>
    <w:basedOn w:val="Normal"/>
    <w:uiPriority w:val="99"/>
    <w:semiHidden/>
    <w:unhideWhenUsed/>
    <w:rsid w:val="00F4529D"/>
    <w:pPr>
      <w:spacing w:before="100" w:beforeAutospacing="1" w:after="100" w:afterAutospacing="1"/>
    </w:pPr>
  </w:style>
  <w:style w:type="character" w:styleId="Strong">
    <w:name w:val="Strong"/>
    <w:basedOn w:val="DefaultParagraphFont"/>
    <w:uiPriority w:val="22"/>
    <w:qFormat/>
    <w:rsid w:val="00F45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CAA.informz.net/z/cjUucD9taT00MjEyNTc4JnA9MSZ1PTc4MzA1NTQzMSZsaT0yNjI0NjY4NQ/index.html" TargetMode="External"/><Relationship Id="rId13" Type="http://schemas.openxmlformats.org/officeDocument/2006/relationships/hyperlink" Target="http://nscaa.informz.net/z/cjUucD9taT00MjEyNTc4JnA9MSZ1PTc4MzA1NTQzMSZsaT0yNjI0NjY4Nw/index.html" TargetMode="External"/><Relationship Id="rId18" Type="http://schemas.openxmlformats.org/officeDocument/2006/relationships/image" Target="media/image7.jpeg"/><Relationship Id="rId26" Type="http://schemas.openxmlformats.org/officeDocument/2006/relationships/hyperlink" Target="mailto:info@nscaa.com" TargetMode="External"/><Relationship Id="rId3" Type="http://schemas.openxmlformats.org/officeDocument/2006/relationships/webSettings" Target="webSettings.xml"/><Relationship Id="rId21" Type="http://schemas.openxmlformats.org/officeDocument/2006/relationships/hyperlink" Target="http://NSCAA.informz.net/z/cjUucD9taT00MjEyNTc4JnA9MSZ1PTc4MzA1NTQzMSZsaT0yNjI0NjY4OQ/index.html" TargetMode="External"/><Relationship Id="rId7" Type="http://schemas.openxmlformats.org/officeDocument/2006/relationships/hyperlink" Target="http://NSCAA.informz.net/z/cjUucD9taT00MjEyNTc4JnA9MSZ1PTc4MzA1NTQzMSZsaT0yNjI0NjY4NA/index.html" TargetMode="External"/><Relationship Id="rId12" Type="http://schemas.openxmlformats.org/officeDocument/2006/relationships/image" Target="media/image4.jpeg"/><Relationship Id="rId17" Type="http://schemas.openxmlformats.org/officeDocument/2006/relationships/hyperlink" Target="http://nscaa.informz.net/z/cjUucD9taT00MjEyNTc4JnA9MSZ1PTc4MzA1NTQzMSZsaT0yNjI0NjY4OQ/index.html"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NSCAA.informz.net/z/cjUucD9taT00MjEyNTc4JnA9MSZ1PTc4MzA1NTQzMSZsaT0yNjI0NjY4OA/index.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nscaa.informz.net/NSCAA/data/images/HS%20showcase.jpg" TargetMode="External"/><Relationship Id="rId24" Type="http://schemas.openxmlformats.org/officeDocument/2006/relationships/hyperlink" Target="http://nscaa.informz.net/z/cjUucD9taT00MjEyNTc4JnA9MSZ1PTc4MzA1NTQzMSZsaT0yNjI0NjY5Mg/index.html" TargetMode="External"/><Relationship Id="rId5" Type="http://schemas.openxmlformats.org/officeDocument/2006/relationships/hyperlink" Target="http://nscaa.informz.net/z/cjUucD9taT00MjEyNTc4JnA9MSZ1PTc4MzA1NTQzMSZsaT0yNjI0NjY4Mw/index.html" TargetMode="External"/><Relationship Id="rId15" Type="http://schemas.openxmlformats.org/officeDocument/2006/relationships/hyperlink" Target="http://nscaa.informz.net/z/cjUucD9taT00MjEyNTc4JnA9MSZ1PTc4MzA1NTQzMSZsaT0yNjI0NjY4OA/index.html" TargetMode="External"/><Relationship Id="rId23" Type="http://schemas.openxmlformats.org/officeDocument/2006/relationships/image" Target="media/image8.png"/><Relationship Id="rId28" Type="http://schemas.openxmlformats.org/officeDocument/2006/relationships/hyperlink" Target="http://NSCAA.informz.net/NSCAA/SendToFriend.asp?brandid=3435&amp;email=blair@parsonelectric.com&amp;mfqid=15310139&amp;mi=4212578&amp;l=1&amp;returnUrl=http://www.nscaa.com" TargetMode="External"/><Relationship Id="rId10" Type="http://schemas.openxmlformats.org/officeDocument/2006/relationships/image" Target="media/image3.jpeg"/><Relationship Id="rId19" Type="http://schemas.openxmlformats.org/officeDocument/2006/relationships/hyperlink" Target="http://NSCAA.informz.net/z/cjUucD9taT00MjEyNTc4JnA9MSZ1PTc4MzA1NTQzMSZsaT0yNjI0NjY5MA/index.html" TargetMode="External"/><Relationship Id="rId4" Type="http://schemas.openxmlformats.org/officeDocument/2006/relationships/image" Target="media/image1.jpeg"/><Relationship Id="rId9" Type="http://schemas.openxmlformats.org/officeDocument/2006/relationships/hyperlink" Target="http://NSCAA.informz.net/z/cjUucD9taT00MjEyNTc4JnA9MSZ1PTc4MzA1NTQzMSZsaT0yNjI0NjY4Ng/index.html" TargetMode="External"/><Relationship Id="rId14" Type="http://schemas.openxmlformats.org/officeDocument/2006/relationships/image" Target="media/image5.jpeg"/><Relationship Id="rId22" Type="http://schemas.openxmlformats.org/officeDocument/2006/relationships/hyperlink" Target="http://nscaa.informz.net/z/cjUucD9taT00MjEyNTc4JnA9MSZ1PTc4MzA1NTQzMSZsaT0yNjI0NjY5MQ/index.html" TargetMode="External"/><Relationship Id="rId27" Type="http://schemas.openxmlformats.org/officeDocument/2006/relationships/hyperlink" Target="http://NSCAA.informz.net/z/cjUucD9taT00MjEyNTc4JnA9MSZ1PTc4MzA1NTQzMSZsaT0yNjI0NjY5Mw/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Varela</dc:creator>
  <cp:keywords/>
  <dc:description/>
  <cp:lastModifiedBy>Luis Varela</cp:lastModifiedBy>
  <cp:revision>1</cp:revision>
  <dcterms:created xsi:type="dcterms:W3CDTF">2015-04-07T22:17:00Z</dcterms:created>
  <dcterms:modified xsi:type="dcterms:W3CDTF">2015-04-07T22:20:00Z</dcterms:modified>
</cp:coreProperties>
</file>